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15 vom 28. April 2015</w:t>
      </w:r>
    </w:p>
    <w:p>
      <w:r>
        <w:t>VS Kantonsgericht, 2015-04-28, FR</w:t>
      </w:r>
    </w:p>
    <w:p>
      <w:r>
        <w:rPr>
          <w:b/>
        </w:rPr>
        <w:t xml:space="preserve">Quelle: </w:t>
      </w:r>
      <w:r>
        <w:t>https://mcp.opencaselaw.ch/entscheid/vs_gerichte_S2 14 15</w:t>
      </w:r>
    </w:p>
    <w:p>
      <w:r>
        <w:t>FR: VS_GERICHTE S2 14 15 du 28 avril 2015</w:t>
      </w:r>
    </w:p>
    <w:p>
      <w:r>
        <w:t>IT: VS_GERICHTE S2 14 15 del 28 aprile 2015</w:t>
      </w:r>
    </w:p>
    <w:p>
      <w:pPr>
        <w:pStyle w:val="Heading2"/>
      </w:pPr>
      <w:r>
        <w:t>Regeste</w:t>
      </w:r>
    </w:p>
    <w:p>
      <w:r>
        <w:t>S2 14 15 JUGEMENT DU 28 AVRIL 2015 Tribunal cantonal du Valais Cour des assurances sociales Composition : Eve-Marie Dayer-Schmid, présidente ; Jean-Pierre Zufferey et Thomas Brunner, juges ; Pierre-André Moix, greffier en la cause X_________, recourante contre Y_________ SA, intimée (réduction des prestations, art. 37 al. 2 LAA)</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11 février 2014, le présent recours à l'encontre de la décision sur opposition du 13 janvier précédent a été interjeté dans le délai légal de trente jours (art. 60 LPGA) devant la Cour de céans, compétente à raison du lieu et de la matière (art. 56, 57 et 58 LPGA ; art. 81bis al. 1 LPJA). Il répond par ailleurs aux autres conditions formelles de recevabilité (art. 61 let. b LPGA), de sorte que la Cour doit entrer en matière. 2.1 Le litige porte sur la réduction des indemnités journalières de la recourante à hauteur de 10%. 2.2 Aux termes de l'article 37 alinéa 2 LAA, si l'assuré a provoqué l'accident par une négligence grave, les indemnités journalières versées pendant les deux premières années qui suivent l'accident sont, en dérogation à l'article 21 alinéa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Selon la jurisprudence et la doctrine,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340 cons. 3.1; 118 V 305 consid. 2a). Une réduction suppose par ailleurs l'existence d'un lien de causalité naturelle et adéquate entre la faute et l'événement accidentel ou ses suites (ATF 121 V 45 consid. 2c; 118 V 307 cons. 2c; 109 V 151 consid. 1). En matière de circulation routière, la notion de négligence grave selon la LAA est plus large que celle de violation grave d'une règle de la circulation au sens de l'article 90</w:t>
      </w:r>
    </w:p>
    <w:p>
      <w:r>
        <w:t>- 5 - alinéa 2 de la loi fédérale du 19 décembre 1958 sur la circulation routière (LCR), laquelle suppose un comportement sans scrupules ou lourdement contraire aux normes, c'est-à-dire une faute particulièrement caractérisée; dans l'assurance- 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305 consid. 2b et les références citées; arrêts du Tribunal fédéral des assurances U 349/04 du 20 décembre 2005, consid. 3.1 et U 212/05 du 9 février 2005 consid. 2). Lorsqu'il y a lieu d'opérer une réduction des prestations, le taux de réduction des prestations est fonction de l'importance de la faute commise (ATF 126 V 362 consid. 5d). 2.3 Selon la jurisprudence constante du Tribunal fédéral des assurances, même si la qualification pénale joue un rôle important lorsque le comportement à l'origine de l'éventualité assurée est une infraction réprimée par le droit pénal (cf. par exemple, en ce qui concerne les infractions au droit de la circulation routière, ATF 120 V 227 consid. 2d, 119 V 245 cons. 3a), le juge des assurances sociales n'est lié par les constatations et l'appréciation du juge pénal ni en ce qui concerne la désignation des prescriptions enfreintes, ni quant à l'évaluation de la faute commise; toutefois,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 6a). Par ailleurs,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w:t>
      </w:r>
    </w:p>
    <w:p>
      <w:r>
        <w:t>- 6 -</w:t>
      </w:r>
    </w:p>
    <w:p>
      <w:r>
        <w:rPr>
          <w:b/>
        </w:rPr>
        <w:t>E. 3</w:t>
      </w:r>
    </w:p>
    <w:p>
      <w:r>
        <w:t>En l'espèce, il est établi que la recourante a traversé la chaussée alors qu’elle se trouvait à une distance de 36 mètres du passage piéton le plus proche. Ce faisant, elle a violé l’article 47 alinéa 1 de l’ordonnance sur la circulation routière (OCR), lequel dispose que les piétons doivent s’engager avec circonspection sur la chaussée et traverser la route sans s’attarder, en utilisant les passages pour piétons qui se trouvent à une distance de moins de 50 mètres. En outre, en agissant comme elle l’a fait, c’est- à-dire sans laisser passer le cycliste qui circulait normalement sur la chaussée, elle a contrevenu également à l’article 47 alinéa 5 OCR qui prévoit que hors des passages pour piétons, les piétons doivent accorder la priorité aux véhicules. Enfin, quand bien même elle affirme avoir regardé à gauche avant de traverser, deux témoins de la scène ont affirmé qu’elle avait la tête tournée vers la droite juste avant de franchir la chaussée, version qui a été retenue par le Tribunal de Police et dont la Cour de céans ne voit pas de raisons de s’écarter. Elle n’a ainsi pas voué toute l’attention voulue au trafic lorsqu’elle a traversé la route, contrevenant à son devoir de prudence. Compte tenu de l’ensemble de ces circonstances, la Cour considère que le comportement de la recourante est constitutif de négligence grave au sens de l’article 37 alinéa 2 LAA, cette grave négligence étant au surplus en lien de causalité avec l’accident. Le fait qu’une éventuelle faute pourrait être reprochée au cycliste qui l’a percutée est sans incidence, dès lors qu’un supposé manquement de ce dernier ne saurait interrompre le lien de causalité entre le comportement de la recourante et l’accident. Le fait que la recourante ait été exemptée de toute peine en raison des conséquences de l’accident sur sa santé n’est pas déterminant, pas plus que le fait que le Tribunal de Police n’ait retenu qu’une violation simple des règles de la circulation routière, l’appréciation de la gravité de la négligence au sens de l’article 37 alinéa 2 LAA n’étant pas la même que celle de l’article 90 alinéa 2 LCR. En effet, il apparaît qu’une personne raisonnable placée dans la même situation aurait certainement décidé de faire le chemin la séparant du passage piéton situé à proximité ou aurait à tout le moins prêté une attention supérieure à celle de la recourante lorsqu’elle a traversé la route, notamment en s’assurant une dernière fois avant de s’élancer sur la chaussée que rien ne venait de sa gauche. Il découle de ce qui précède que l’intimée était fondée à réduire de 10% les prestations octroyées à la recourante. L’ampleur de la réduction, laquelle n’est en tant que telle pas contestée par la recourante, n’apparaît pas non plus disproportionnée par rapport à la faute de cette dernière.</w:t>
      </w:r>
    </w:p>
    <w:p>
      <w:r>
        <w:t>- 7 -</w:t>
      </w:r>
    </w:p>
    <w:p>
      <w:r>
        <w:rPr>
          <w:b/>
        </w:rPr>
        <w:t>E. 4</w:t>
      </w:r>
    </w:p>
    <w:p>
      <w:r>
        <w:t>Au vu de ces éléments, le recours doit être rejeté et la décision entreprise confirmée. Il n’est pas perçu de frais (art. 61 let. a LPGA).</w:t>
      </w:r>
    </w:p>
    <w:p>
      <w:r>
        <w:t>Prononce</w:t>
      </w:r>
    </w:p>
    <w:p>
      <w:r>
        <w:t>1. Le recours est rejeté. 2. Il n'est pas perçu de frais.</w:t>
      </w:r>
    </w:p>
    <w:p>
      <w:r>
        <w:t>Sion, le 28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